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64" w:lineRule="auto"/>
        <w:jc w:val="right"/>
        <w:rPr>
          <w:rFonts w:ascii="Arial" w:cs="Arial" w:eastAsia="Arial" w:hAnsi="Arial"/>
          <w:b w:val="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0"/>
          <w:sz w:val="32"/>
          <w:szCs w:val="32"/>
          <w:rtl w:val="0"/>
        </w:rPr>
        <w:t xml:space="preserve">ЗАТВЕРДЖУЮ </w:t>
      </w:r>
    </w:p>
    <w:p w:rsidR="00000000" w:rsidDel="00000000" w:rsidP="00000000" w:rsidRDefault="00000000" w:rsidRPr="00000000" w14:paraId="00000002">
      <w:pPr>
        <w:spacing w:after="200" w:line="264" w:lineRule="auto"/>
        <w:jc w:val="right"/>
        <w:rPr>
          <w:rFonts w:ascii="Arial" w:cs="Arial" w:eastAsia="Arial" w:hAnsi="Arial"/>
          <w:b w:val="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0"/>
          <w:sz w:val="32"/>
          <w:szCs w:val="32"/>
          <w:rtl w:val="0"/>
        </w:rPr>
        <w:t xml:space="preserve">Директор ТОВ «ПЕРЕМОГА»</w:t>
      </w:r>
    </w:p>
    <w:p w:rsidR="00000000" w:rsidDel="00000000" w:rsidP="00000000" w:rsidRDefault="00000000" w:rsidRPr="00000000" w14:paraId="00000003">
      <w:pPr>
        <w:spacing w:after="200" w:line="264" w:lineRule="auto"/>
        <w:jc w:val="right"/>
        <w:rPr>
          <w:rFonts w:ascii="Arial" w:cs="Arial" w:eastAsia="Arial" w:hAnsi="Arial"/>
          <w:b w:val="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0"/>
          <w:sz w:val="32"/>
          <w:szCs w:val="32"/>
          <w:rtl w:val="0"/>
        </w:rPr>
        <w:t xml:space="preserve"> __________ Ім'я ПРІЗВИЩЕ</w:t>
      </w:r>
    </w:p>
    <w:p w:rsidR="00000000" w:rsidDel="00000000" w:rsidP="00000000" w:rsidRDefault="00000000" w:rsidRPr="00000000" w14:paraId="00000004">
      <w:pPr>
        <w:spacing w:after="200" w:line="264" w:lineRule="auto"/>
        <w:jc w:val="right"/>
        <w:rPr>
          <w:rFonts w:ascii="Arial" w:cs="Arial" w:eastAsia="Arial" w:hAnsi="Arial"/>
          <w:b w:val="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0"/>
          <w:sz w:val="32"/>
          <w:szCs w:val="32"/>
          <w:rtl w:val="0"/>
        </w:rPr>
        <w:t xml:space="preserve">“___”  ______________ 2023 р.</w:t>
      </w:r>
    </w:p>
    <w:p w:rsidR="00000000" w:rsidDel="00000000" w:rsidP="00000000" w:rsidRDefault="00000000" w:rsidRPr="00000000" w14:paraId="00000005">
      <w:pPr>
        <w:spacing w:after="200" w:line="264" w:lineRule="auto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ПЛАН</w:t>
      </w:r>
    </w:p>
    <w:p w:rsidR="00000000" w:rsidDel="00000000" w:rsidP="00000000" w:rsidRDefault="00000000" w:rsidRPr="00000000" w14:paraId="00000006">
      <w:pPr>
        <w:spacing w:after="200" w:line="264" w:lineRule="auto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Роботи з військового обліку військовозобов’язаних, резервістів та призовників на 2024 рік</w:t>
      </w:r>
    </w:p>
    <w:p w:rsidR="00000000" w:rsidDel="00000000" w:rsidP="00000000" w:rsidRDefault="00000000" w:rsidRPr="00000000" w14:paraId="00000007">
      <w:pPr>
        <w:spacing w:after="200" w:line="264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І. Заходи, що проводять постійно</w:t>
      </w:r>
    </w:p>
    <w:tbl>
      <w:tblPr>
        <w:tblStyle w:val="Table1"/>
        <w:tblW w:w="9525.0" w:type="dxa"/>
        <w:jc w:val="left"/>
        <w:tblInd w:w="-63.00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05"/>
        <w:gridCol w:w="2070"/>
        <w:gridCol w:w="1950"/>
        <w:tblGridChange w:id="0">
          <w:tblGrid>
            <w:gridCol w:w="5505"/>
            <w:gridCol w:w="2070"/>
            <w:gridCol w:w="19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after="200" w:line="264" w:lineRule="auto"/>
              <w:jc w:val="center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Зміст заходу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200" w:line="264" w:lineRule="auto"/>
              <w:jc w:val="center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Строк виконання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200" w:line="264" w:lineRule="auto"/>
              <w:jc w:val="center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Відповідальний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200" w:line="264" w:lineRule="auto"/>
              <w:rPr>
                <w:rFonts w:ascii="Arial" w:cs="Arial" w:eastAsia="Arial" w:hAnsi="Arial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32"/>
                <w:szCs w:val="32"/>
                <w:rtl w:val="0"/>
              </w:rPr>
              <w:t xml:space="preserve">Перевірка у громадян наявності військово-облікових документів: у військовозобов’язаних – військових квитків або тимчасових посвідчень, а у призовників – посвідчень про приписку до призовних дільниць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200" w:line="264" w:lineRule="auto"/>
              <w:rPr>
                <w:rFonts w:ascii="Arial" w:cs="Arial" w:eastAsia="Arial" w:hAnsi="Arial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32"/>
                <w:szCs w:val="32"/>
                <w:rtl w:val="0"/>
              </w:rPr>
              <w:t xml:space="preserve">Під час прийняття на роботу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200" w:line="264" w:lineRule="auto"/>
              <w:rPr>
                <w:rFonts w:ascii="Arial" w:cs="Arial" w:eastAsia="Arial" w:hAnsi="Arial"/>
                <w:b w:val="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after="200" w:line="264" w:lineRule="auto"/>
              <w:rPr>
                <w:rFonts w:ascii="Arial" w:cs="Arial" w:eastAsia="Arial" w:hAnsi="Arial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32"/>
                <w:szCs w:val="32"/>
                <w:rtl w:val="0"/>
              </w:rPr>
              <w:t xml:space="preserve">Доведення до призовників, військовозобов’язаних та резервістів правил військового обліку під особистий підпис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200" w:line="264" w:lineRule="auto"/>
              <w:rPr>
                <w:rFonts w:ascii="Arial" w:cs="Arial" w:eastAsia="Arial" w:hAnsi="Arial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32"/>
                <w:szCs w:val="32"/>
                <w:rtl w:val="0"/>
              </w:rPr>
              <w:t xml:space="preserve">Під час прийняття на роботу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200" w:line="264" w:lineRule="auto"/>
              <w:rPr>
                <w:rFonts w:ascii="Arial" w:cs="Arial" w:eastAsia="Arial" w:hAnsi="Arial"/>
                <w:b w:val="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200" w:line="264" w:lineRule="auto"/>
              <w:rPr>
                <w:rFonts w:ascii="Arial" w:cs="Arial" w:eastAsia="Arial" w:hAnsi="Arial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32"/>
                <w:szCs w:val="32"/>
                <w:rtl w:val="0"/>
              </w:rPr>
              <w:t xml:space="preserve">Оформлення особових карток П-2 на військовозобов’язаних та призовників, прийнятих на роботу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200" w:line="264" w:lineRule="auto"/>
              <w:rPr>
                <w:rFonts w:ascii="Arial" w:cs="Arial" w:eastAsia="Arial" w:hAnsi="Arial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32"/>
                <w:szCs w:val="32"/>
                <w:rtl w:val="0"/>
              </w:rPr>
              <w:t xml:space="preserve">У день прийняття на роботу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200" w:line="264" w:lineRule="auto"/>
              <w:rPr>
                <w:rFonts w:ascii="Arial" w:cs="Arial" w:eastAsia="Arial" w:hAnsi="Arial"/>
                <w:b w:val="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after="200" w:line="264" w:lineRule="auto"/>
              <w:rPr>
                <w:rFonts w:ascii="Arial" w:cs="Arial" w:eastAsia="Arial" w:hAnsi="Arial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32"/>
                <w:szCs w:val="32"/>
                <w:rtl w:val="0"/>
              </w:rPr>
              <w:t xml:space="preserve">Повідомлення відповідних ТЦК та СП за місцем реєстрації військовозобов’язаного або призовника  про прийняття його на роботу або звільнення з роботи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200" w:line="264" w:lineRule="auto"/>
              <w:rPr>
                <w:rFonts w:ascii="Arial" w:cs="Arial" w:eastAsia="Arial" w:hAnsi="Arial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32"/>
                <w:szCs w:val="32"/>
                <w:rtl w:val="0"/>
              </w:rPr>
              <w:t xml:space="preserve">У семиденний строк з дня прийняття на роботу або звільнення з роботи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200" w:line="264" w:lineRule="auto"/>
              <w:rPr>
                <w:rFonts w:ascii="Arial" w:cs="Arial" w:eastAsia="Arial" w:hAnsi="Arial"/>
                <w:b w:val="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after="200" w:line="264" w:lineRule="auto"/>
              <w:rPr>
                <w:rFonts w:ascii="Arial" w:cs="Arial" w:eastAsia="Arial" w:hAnsi="Arial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32"/>
                <w:szCs w:val="32"/>
                <w:rtl w:val="0"/>
              </w:rPr>
              <w:t xml:space="preserve">Ведення картотеки персонального військового обліку на основі типової форми №П-2 та формування справ з військово-обліковими документами працівників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200" w:line="264" w:lineRule="auto"/>
              <w:rPr>
                <w:rFonts w:ascii="Arial" w:cs="Arial" w:eastAsia="Arial" w:hAnsi="Arial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32"/>
                <w:szCs w:val="32"/>
                <w:rtl w:val="0"/>
              </w:rPr>
              <w:t xml:space="preserve">Постійно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200" w:line="264" w:lineRule="auto"/>
              <w:rPr>
                <w:rFonts w:ascii="Arial" w:cs="Arial" w:eastAsia="Arial" w:hAnsi="Arial"/>
                <w:b w:val="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after="200" w:line="264" w:lineRule="auto"/>
              <w:rPr>
                <w:rFonts w:ascii="Arial" w:cs="Arial" w:eastAsia="Arial" w:hAnsi="Arial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32"/>
                <w:szCs w:val="32"/>
                <w:rtl w:val="0"/>
              </w:rPr>
              <w:t xml:space="preserve">Складання  та реєстрація у встановленому порядку списків персонального військового обліку, а також відомості оперативного обліку призовників, військовозобов’язаних та резервістів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200" w:line="264" w:lineRule="auto"/>
              <w:rPr>
                <w:rFonts w:ascii="Arial" w:cs="Arial" w:eastAsia="Arial" w:hAnsi="Arial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32"/>
                <w:szCs w:val="32"/>
                <w:rtl w:val="0"/>
              </w:rPr>
              <w:t xml:space="preserve">До 25.01.2024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200" w:line="264" w:lineRule="auto"/>
              <w:rPr>
                <w:rFonts w:ascii="Arial" w:cs="Arial" w:eastAsia="Arial" w:hAnsi="Arial"/>
                <w:b w:val="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after="200" w:line="264" w:lineRule="auto"/>
              <w:rPr>
                <w:rFonts w:ascii="Arial" w:cs="Arial" w:eastAsia="Arial" w:hAnsi="Arial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32"/>
                <w:szCs w:val="32"/>
                <w:rtl w:val="0"/>
              </w:rPr>
              <w:t xml:space="preserve">Внесення до особових карток та списків персонального військового обліку військовозобов’язаних , резервістів чи призовників відомостей про зміни, що стосуються сімейного стану, місця реєстрації, освіти, місця роботи, посади, військового звання, військово-облікової спеціальності та придатності до військової служби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200" w:line="264" w:lineRule="auto"/>
              <w:rPr>
                <w:rFonts w:ascii="Arial" w:cs="Arial" w:eastAsia="Arial" w:hAnsi="Arial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32"/>
                <w:szCs w:val="32"/>
                <w:rtl w:val="0"/>
              </w:rPr>
              <w:t xml:space="preserve">Упродовж 5 днів з дня подання відповідних документів 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200" w:line="264" w:lineRule="auto"/>
              <w:rPr>
                <w:rFonts w:ascii="Arial" w:cs="Arial" w:eastAsia="Arial" w:hAnsi="Arial"/>
                <w:b w:val="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64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32"/>
                <w:szCs w:val="32"/>
                <w:rtl w:val="0"/>
              </w:rPr>
              <w:t xml:space="preserve">Надсилання до відповідних районних (міських) територіальних центрів комплектування та соціальної підтримки, органів СБУ, підрозділів Служби зовнішньої розвідки повідомлень про зміну вищевказаних облікових даних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200" w:line="264" w:lineRule="auto"/>
              <w:rPr>
                <w:rFonts w:ascii="Arial" w:cs="Arial" w:eastAsia="Arial" w:hAnsi="Arial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32"/>
                <w:szCs w:val="32"/>
                <w:rtl w:val="0"/>
              </w:rPr>
              <w:t xml:space="preserve">До 5 числа щомісяця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200" w:line="264" w:lineRule="auto"/>
              <w:rPr>
                <w:rFonts w:ascii="Arial" w:cs="Arial" w:eastAsia="Arial" w:hAnsi="Arial"/>
                <w:b w:val="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64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4"/>
                <w:szCs w:val="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32"/>
                <w:szCs w:val="32"/>
                <w:rtl w:val="0"/>
              </w:rPr>
              <w:t xml:space="preserve">Здійснення контролю за дотриманням правил військового обліку, проведення відповідної роз’яснювальної роботи серед призовників, військовозобов’язаних та резервістів щодо виконання ними правил військового обліку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200" w:line="264" w:lineRule="auto"/>
              <w:rPr>
                <w:rFonts w:ascii="Arial" w:cs="Arial" w:eastAsia="Arial" w:hAnsi="Arial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32"/>
                <w:szCs w:val="32"/>
                <w:rtl w:val="0"/>
              </w:rPr>
              <w:t xml:space="preserve">Постійно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200" w:line="264" w:lineRule="auto"/>
              <w:rPr>
                <w:rFonts w:ascii="Arial" w:cs="Arial" w:eastAsia="Arial" w:hAnsi="Arial"/>
                <w:b w:val="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after="200" w:line="264" w:lineRule="auto"/>
              <w:rPr>
                <w:rFonts w:ascii="Arial" w:cs="Arial" w:eastAsia="Arial" w:hAnsi="Arial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32"/>
                <w:szCs w:val="32"/>
                <w:rtl w:val="0"/>
              </w:rPr>
              <w:t xml:space="preserve">Ведення та зберігання Журналу обліку результатів перевірок стану військового обліку призовників і військовозобов’язаних  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200" w:line="264" w:lineRule="auto"/>
              <w:rPr>
                <w:rFonts w:ascii="Arial" w:cs="Arial" w:eastAsia="Arial" w:hAnsi="Arial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32"/>
                <w:szCs w:val="32"/>
                <w:rtl w:val="0"/>
              </w:rPr>
              <w:t xml:space="preserve">Постійно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200" w:line="264" w:lineRule="auto"/>
              <w:rPr>
                <w:rFonts w:ascii="Arial" w:cs="Arial" w:eastAsia="Arial" w:hAnsi="Arial"/>
                <w:b w:val="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after="200" w:line="264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00" w:line="264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ІІ. Заходи, що проводять періодично</w:t>
      </w:r>
    </w:p>
    <w:tbl>
      <w:tblPr>
        <w:tblStyle w:val="Table2"/>
        <w:tblW w:w="957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5"/>
        <w:gridCol w:w="2123"/>
        <w:gridCol w:w="1953"/>
        <w:tblGridChange w:id="0">
          <w:tblGrid>
            <w:gridCol w:w="5495"/>
            <w:gridCol w:w="2123"/>
            <w:gridCol w:w="195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after="200" w:line="264" w:lineRule="auto"/>
              <w:jc w:val="center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Зміст заходу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200" w:line="264" w:lineRule="auto"/>
              <w:jc w:val="center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Термін виконання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200" w:line="264" w:lineRule="auto"/>
              <w:jc w:val="center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Відповідальний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after="200" w:line="264" w:lineRule="auto"/>
              <w:rPr>
                <w:rFonts w:ascii="Arial" w:cs="Arial" w:eastAsia="Arial" w:hAnsi="Arial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32"/>
                <w:szCs w:val="32"/>
                <w:rtl w:val="0"/>
              </w:rPr>
              <w:t xml:space="preserve">Звіряння особових карток військовозобов’язаних та призовників з військово-обліковими документами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200" w:line="264" w:lineRule="auto"/>
              <w:rPr>
                <w:rFonts w:ascii="Arial" w:cs="Arial" w:eastAsia="Arial" w:hAnsi="Arial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32"/>
                <w:szCs w:val="32"/>
                <w:rtl w:val="0"/>
              </w:rPr>
              <w:t xml:space="preserve">Відповідно до Графіку звіряння 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200" w:line="264" w:lineRule="auto"/>
              <w:rPr>
                <w:rFonts w:ascii="Arial" w:cs="Arial" w:eastAsia="Arial" w:hAnsi="Arial"/>
                <w:b w:val="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after="200" w:line="264" w:lineRule="auto"/>
              <w:rPr>
                <w:rFonts w:ascii="Arial" w:cs="Arial" w:eastAsia="Arial" w:hAnsi="Arial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32"/>
                <w:szCs w:val="32"/>
                <w:rtl w:val="0"/>
              </w:rPr>
              <w:t xml:space="preserve">Звіряння особових карток військовозобов’язаних та призовників з обліковими даними територіальних центрів комплектування та соціальної підтримки за місцем реєстрації підприємства або працівників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200" w:line="264" w:lineRule="auto"/>
              <w:rPr>
                <w:rFonts w:ascii="Arial" w:cs="Arial" w:eastAsia="Arial" w:hAnsi="Arial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32"/>
                <w:szCs w:val="32"/>
                <w:rtl w:val="0"/>
              </w:rPr>
              <w:t xml:space="preserve">Відповідно до Графіку звіряння затвердженого ТЦК та СП або на вимогу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200" w:line="264" w:lineRule="auto"/>
              <w:rPr>
                <w:rFonts w:ascii="Arial" w:cs="Arial" w:eastAsia="Arial" w:hAnsi="Arial"/>
                <w:b w:val="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after="200" w:line="264" w:lineRule="auto"/>
              <w:rPr>
                <w:rFonts w:ascii="Arial" w:cs="Arial" w:eastAsia="Arial" w:hAnsi="Arial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32"/>
                <w:szCs w:val="32"/>
                <w:rtl w:val="0"/>
              </w:rPr>
              <w:t xml:space="preserve">Приймання від призовників, військовозобов’язаних та резервістів під розписку у бланках </w:t>
            </w:r>
            <w:hyperlink r:id="rId7">
              <w:r w:rsidDel="00000000" w:rsidR="00000000" w:rsidRPr="00000000">
                <w:rPr>
                  <w:rFonts w:ascii="Arial" w:cs="Arial" w:eastAsia="Arial" w:hAnsi="Arial"/>
                  <w:b w:val="0"/>
                  <w:color w:val="0000ff"/>
                  <w:sz w:val="32"/>
                  <w:szCs w:val="32"/>
                  <w:u w:val="single"/>
                  <w:rtl w:val="0"/>
                </w:rPr>
                <w:t xml:space="preserve">розписок</w:t>
              </w:r>
            </w:hyperlink>
            <w:r w:rsidDel="00000000" w:rsidR="00000000" w:rsidRPr="00000000">
              <w:rPr>
                <w:rFonts w:ascii="Arial" w:cs="Arial" w:eastAsia="Arial" w:hAnsi="Arial"/>
                <w:b w:val="0"/>
                <w:sz w:val="32"/>
                <w:szCs w:val="32"/>
                <w:rtl w:val="0"/>
              </w:rPr>
              <w:t xml:space="preserve"> їх військово-облікових документів для подання таких документів до відповідних районних (міських) територіальних центрів комплектування та соціальної підтримки, органів СБУ, підрозділів Служби зовнішньої розвідки з метою їх звіряння з обліковими даними, а також оформлення бронювання військовозобов’язаних на період мобілізації та на воєнний час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200" w:line="264" w:lineRule="auto"/>
              <w:rPr>
                <w:rFonts w:ascii="Arial" w:cs="Arial" w:eastAsia="Arial" w:hAnsi="Arial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32"/>
                <w:szCs w:val="32"/>
                <w:rtl w:val="0"/>
              </w:rPr>
              <w:t xml:space="preserve">Раз на рік, відповідно до графіка звірянь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200" w:line="264" w:lineRule="auto"/>
              <w:rPr>
                <w:rFonts w:ascii="Arial" w:cs="Arial" w:eastAsia="Arial" w:hAnsi="Arial"/>
                <w:b w:val="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200" w:line="264" w:lineRule="auto"/>
              <w:rPr>
                <w:rFonts w:ascii="Arial" w:cs="Arial" w:eastAsia="Arial" w:hAnsi="Arial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32"/>
                <w:szCs w:val="32"/>
                <w:rtl w:val="0"/>
              </w:rPr>
              <w:t xml:space="preserve">Подання до ТЦК та СП за місцезнаходженням підприємства списку громадян, які підлягають приписці до призовних дільниць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200" w:line="264" w:lineRule="auto"/>
              <w:rPr>
                <w:rFonts w:ascii="Arial" w:cs="Arial" w:eastAsia="Arial" w:hAnsi="Arial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32"/>
                <w:szCs w:val="32"/>
                <w:rtl w:val="0"/>
              </w:rPr>
              <w:t xml:space="preserve">До 01.12.2024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200" w:line="264" w:lineRule="auto"/>
              <w:rPr>
                <w:rFonts w:ascii="Arial" w:cs="Arial" w:eastAsia="Arial" w:hAnsi="Arial"/>
                <w:b w:val="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after="200" w:line="264" w:lineRule="auto"/>
              <w:rPr>
                <w:rFonts w:ascii="Arial" w:cs="Arial" w:eastAsia="Arial" w:hAnsi="Arial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32"/>
                <w:szCs w:val="32"/>
                <w:rtl w:val="0"/>
              </w:rPr>
              <w:t xml:space="preserve">Вилучення із картотеки особових справ військовозобов’язаних, які підлягають виключенню з військового обліку за віком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200" w:line="264" w:lineRule="auto"/>
              <w:rPr>
                <w:rFonts w:ascii="Arial" w:cs="Arial" w:eastAsia="Arial" w:hAnsi="Arial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32"/>
                <w:szCs w:val="32"/>
                <w:rtl w:val="0"/>
              </w:rPr>
              <w:t xml:space="preserve">Грудень 2024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200" w:line="264" w:lineRule="auto"/>
              <w:rPr>
                <w:rFonts w:ascii="Arial" w:cs="Arial" w:eastAsia="Arial" w:hAnsi="Arial"/>
                <w:b w:val="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after="200" w:line="264" w:lineRule="auto"/>
              <w:rPr>
                <w:rFonts w:ascii="Arial" w:cs="Arial" w:eastAsia="Arial" w:hAnsi="Arial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32"/>
                <w:szCs w:val="32"/>
                <w:rtl w:val="0"/>
              </w:rPr>
              <w:t xml:space="preserve">Подання до ТЦК та СП за місцезнаходженням підприємства звіту за формою №6-Б “Звіт про чисельність працюючих і військовозобов’язаних, які заброньовані згідно з переліками посад і професій”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200" w:line="264" w:lineRule="auto"/>
              <w:rPr>
                <w:rFonts w:ascii="Arial" w:cs="Arial" w:eastAsia="Arial" w:hAnsi="Arial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32"/>
                <w:szCs w:val="32"/>
                <w:rtl w:val="0"/>
              </w:rPr>
              <w:t xml:space="preserve">Раз на рік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200" w:line="264" w:lineRule="auto"/>
              <w:rPr>
                <w:rFonts w:ascii="Arial" w:cs="Arial" w:eastAsia="Arial" w:hAnsi="Arial"/>
                <w:b w:val="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after="200" w:line="264" w:lineRule="auto"/>
              <w:rPr>
                <w:rFonts w:ascii="Arial" w:cs="Arial" w:eastAsia="Arial" w:hAnsi="Arial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32"/>
                <w:szCs w:val="32"/>
                <w:rtl w:val="0"/>
              </w:rPr>
              <w:t xml:space="preserve">Планування роботи з військового обліку військовозобов’язаних і призовників на 2025 рік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200" w:line="264" w:lineRule="auto"/>
              <w:rPr>
                <w:rFonts w:ascii="Arial" w:cs="Arial" w:eastAsia="Arial" w:hAnsi="Arial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32"/>
                <w:szCs w:val="32"/>
                <w:rtl w:val="0"/>
              </w:rPr>
              <w:t xml:space="preserve">Грудень 2024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200" w:line="264" w:lineRule="auto"/>
              <w:rPr>
                <w:rFonts w:ascii="Arial" w:cs="Arial" w:eastAsia="Arial" w:hAnsi="Arial"/>
                <w:b w:val="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after="200" w:line="264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00" w:line="264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ІІІ. Заходи, виконувані за потреби </w:t>
      </w:r>
    </w:p>
    <w:tbl>
      <w:tblPr>
        <w:tblStyle w:val="Table3"/>
        <w:tblW w:w="957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46"/>
        <w:gridCol w:w="2072"/>
        <w:gridCol w:w="1953"/>
        <w:tblGridChange w:id="0">
          <w:tblGrid>
            <w:gridCol w:w="5546"/>
            <w:gridCol w:w="2072"/>
            <w:gridCol w:w="195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spacing w:after="200" w:line="264" w:lineRule="auto"/>
              <w:jc w:val="center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Зміст заходу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200" w:line="264" w:lineRule="auto"/>
              <w:jc w:val="center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Строк виконання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200" w:line="264" w:lineRule="auto"/>
              <w:jc w:val="center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Відповідальний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spacing w:after="200" w:line="264" w:lineRule="auto"/>
              <w:rPr>
                <w:rFonts w:ascii="Arial" w:cs="Arial" w:eastAsia="Arial" w:hAnsi="Arial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32"/>
                <w:szCs w:val="32"/>
                <w:rtl w:val="0"/>
              </w:rPr>
              <w:t xml:space="preserve">Оповіщення військовозобов’язаних та призовників про їх виклик до ТЦК та СП  і забезпечення своєчасного прибуття за викликом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200" w:line="264" w:lineRule="auto"/>
              <w:rPr>
                <w:rFonts w:ascii="Arial" w:cs="Arial" w:eastAsia="Arial" w:hAnsi="Arial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32"/>
                <w:szCs w:val="32"/>
                <w:rtl w:val="0"/>
              </w:rPr>
              <w:t xml:space="preserve">Згідно з вимогами ТЦК та СП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200" w:line="264" w:lineRule="auto"/>
              <w:rPr>
                <w:rFonts w:ascii="Arial" w:cs="Arial" w:eastAsia="Arial" w:hAnsi="Arial"/>
                <w:b w:val="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after="200" w:line="264" w:lineRule="auto"/>
              <w:rPr>
                <w:rFonts w:ascii="Arial" w:cs="Arial" w:eastAsia="Arial" w:hAnsi="Arial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32"/>
                <w:szCs w:val="32"/>
                <w:rtl w:val="0"/>
              </w:rPr>
              <w:t xml:space="preserve">Оформлення бронювання за підприємством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200" w:line="264" w:lineRule="auto"/>
              <w:rPr>
                <w:rFonts w:ascii="Arial" w:cs="Arial" w:eastAsia="Arial" w:hAnsi="Arial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32"/>
                <w:szCs w:val="32"/>
                <w:rtl w:val="0"/>
              </w:rPr>
              <w:t xml:space="preserve">За потреби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200" w:line="264" w:lineRule="auto"/>
              <w:rPr>
                <w:rFonts w:ascii="Arial" w:cs="Arial" w:eastAsia="Arial" w:hAnsi="Arial"/>
                <w:b w:val="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spacing w:after="200" w:line="264" w:lineRule="auto"/>
              <w:rPr>
                <w:rFonts w:ascii="Arial" w:cs="Arial" w:eastAsia="Arial" w:hAnsi="Arial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32"/>
                <w:szCs w:val="32"/>
                <w:rtl w:val="0"/>
              </w:rPr>
              <w:t xml:space="preserve">Направлення до територіальних центрів комплектування та соціальної підтримки військовозобов’язаних і працівників для внесення змін до військово-облікових документів (виключення з обліку при досягненні граничного віку перебування у запасі, взяття на облік після проходження військової служби тощо)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200" w:line="264" w:lineRule="auto"/>
              <w:rPr>
                <w:rFonts w:ascii="Arial" w:cs="Arial" w:eastAsia="Arial" w:hAnsi="Arial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32"/>
                <w:szCs w:val="32"/>
                <w:rtl w:val="0"/>
              </w:rPr>
              <w:t xml:space="preserve">За наявності підстав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200" w:line="264" w:lineRule="auto"/>
              <w:rPr>
                <w:rFonts w:ascii="Arial" w:cs="Arial" w:eastAsia="Arial" w:hAnsi="Arial"/>
                <w:b w:val="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spacing w:after="200" w:line="264" w:lineRule="auto"/>
              <w:rPr>
                <w:rFonts w:ascii="Arial" w:cs="Arial" w:eastAsia="Arial" w:hAnsi="Arial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32"/>
                <w:szCs w:val="32"/>
                <w:rtl w:val="0"/>
              </w:rPr>
              <w:t xml:space="preserve">Повідомлення територіальних центрів комплектування та соціальної підтримки про посадових осіб, військовозобов’язаних та призовників, які порушили вимоги законодавства про військовий обов’язок та військову службу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200" w:line="264" w:lineRule="auto"/>
              <w:rPr>
                <w:rFonts w:ascii="Arial" w:cs="Arial" w:eastAsia="Arial" w:hAnsi="Arial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32"/>
                <w:szCs w:val="32"/>
                <w:rtl w:val="0"/>
              </w:rPr>
              <w:t xml:space="preserve">За наявності порушень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200" w:line="264" w:lineRule="auto"/>
              <w:rPr>
                <w:rFonts w:ascii="Arial" w:cs="Arial" w:eastAsia="Arial" w:hAnsi="Arial"/>
                <w:b w:val="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spacing w:after="200" w:line="264" w:lineRule="auto"/>
              <w:rPr>
                <w:rFonts w:ascii="Arial" w:cs="Arial" w:eastAsia="Arial" w:hAnsi="Arial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32"/>
                <w:szCs w:val="32"/>
                <w:rtl w:val="0"/>
              </w:rPr>
              <w:t xml:space="preserve">Повідомлення територіальних центрів комплектування та соціальної підтримки про призначення, переміщення і звільнення особи, відповідальної за ведення військового обліку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200" w:line="264" w:lineRule="auto"/>
              <w:rPr>
                <w:rFonts w:ascii="Arial" w:cs="Arial" w:eastAsia="Arial" w:hAnsi="Arial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32"/>
                <w:szCs w:val="32"/>
                <w:rtl w:val="0"/>
              </w:rPr>
              <w:t xml:space="preserve">У 7-денний строк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200" w:line="264" w:lineRule="auto"/>
              <w:rPr>
                <w:rFonts w:ascii="Arial" w:cs="Arial" w:eastAsia="Arial" w:hAnsi="Arial"/>
                <w:b w:val="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spacing w:after="200" w:line="264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200" w:line="264" w:lineRule="auto"/>
        <w:rPr>
          <w:rFonts w:ascii="Arial" w:cs="Arial" w:eastAsia="Arial" w:hAnsi="Arial"/>
          <w:b w:val="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0"/>
          <w:sz w:val="32"/>
          <w:szCs w:val="32"/>
          <w:rtl w:val="0"/>
        </w:rPr>
        <w:t xml:space="preserve">Відповідальна за ведення військового обліку</w:t>
      </w:r>
    </w:p>
    <w:p w:rsidR="00000000" w:rsidDel="00000000" w:rsidP="00000000" w:rsidRDefault="00000000" w:rsidRPr="00000000" w14:paraId="00000059">
      <w:pPr>
        <w:spacing w:after="200" w:line="264" w:lineRule="auto"/>
        <w:rPr>
          <w:rFonts w:ascii="Arial" w:cs="Arial" w:eastAsia="Arial" w:hAnsi="Arial"/>
          <w:b w:val="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0"/>
          <w:sz w:val="32"/>
          <w:szCs w:val="32"/>
          <w:rtl w:val="0"/>
        </w:rPr>
        <w:t xml:space="preserve">Військовозобов’язаних,  призовників та резервістів                 _______________  Ім’я ПРІЗВИЩЕ</w:t>
      </w:r>
    </w:p>
    <w:p w:rsidR="00000000" w:rsidDel="00000000" w:rsidP="00000000" w:rsidRDefault="00000000" w:rsidRPr="00000000" w14:paraId="0000005A">
      <w:pPr>
        <w:spacing w:after="200" w:line="264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b w:val="1"/>
        <w:sz w:val="86.66666666666667"/>
        <w:szCs w:val="86.66666666666667"/>
        <w:vertAlign w:val="superscript"/>
        <w:lang w:val="uk-U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B319DC"/>
    <w:rPr>
      <w:rFonts w:asciiTheme="majorHAnsi" w:cstheme="majorBidi" w:hAnsiTheme="majorHAnsi"/>
      <w:b w:val="1"/>
      <w:spacing w:val="-20"/>
      <w:position w:val="6"/>
      <w:sz w:val="52"/>
      <w:szCs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B319DC"/>
    <w:pPr>
      <w:spacing w:after="0" w:line="240" w:lineRule="auto"/>
    </w:pPr>
    <w:rPr>
      <w:rFonts w:asciiTheme="majorHAnsi" w:cstheme="majorBidi" w:hAnsiTheme="majorHAnsi"/>
      <w:b w:val="1"/>
      <w:spacing w:val="-20"/>
      <w:position w:val="6"/>
      <w:sz w:val="52"/>
      <w:szCs w:val="24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rvps2" w:customStyle="1">
    <w:name w:val="rvps2"/>
    <w:basedOn w:val="a"/>
    <w:rsid w:val="00387AE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 w:val="0"/>
      <w:spacing w:val="0"/>
      <w:position w:val="0"/>
      <w:sz w:val="24"/>
      <w:lang w:eastAsia="ru-RU"/>
    </w:rPr>
  </w:style>
  <w:style w:type="character" w:styleId="a4">
    <w:name w:val="Hyperlink"/>
    <w:basedOn w:val="a0"/>
    <w:uiPriority w:val="99"/>
    <w:semiHidden w:val="1"/>
    <w:unhideWhenUsed w:val="1"/>
    <w:rsid w:val="00F103DE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mbria" w:cs="Cambria" w:eastAsia="Cambria" w:hAnsi="Cambria"/>
      <w:b w:val="1"/>
      <w:sz w:val="86.66666666666667"/>
      <w:szCs w:val="86.66666666666667"/>
      <w:vertAlign w:val="superscript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mbria" w:cs="Cambria" w:eastAsia="Cambria" w:hAnsi="Cambria"/>
      <w:b w:val="1"/>
      <w:sz w:val="86.66666666666667"/>
      <w:szCs w:val="86.66666666666667"/>
      <w:vertAlign w:val="superscript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Cambria" w:cs="Cambria" w:eastAsia="Cambria" w:hAnsi="Cambria"/>
      <w:b w:val="1"/>
      <w:sz w:val="86.66666666666667"/>
      <w:szCs w:val="86.66666666666667"/>
      <w:vertAlign w:val="superscript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zakon.rada.gov.ua/laws/show/1487-2022-%D0%BF#n4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OxLsVG55FNiWxBZ1sFH8cZZ/5Q==">CgMxLjA4AHIhMUFVSVRDbm5WbmR1R3VDaUZBR3pLWlFubWdnY3NkdGdH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2020-01-27T09:38:00Z</dcterms:created>
  <dc:creator>a162</dc:creator>
</cp:coreProperties>
</file>